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耳鼻(阻力)诊断仪采购要求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测量数据结果可显示呼吸变化曲线，柱状数据图及数据表格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可通过智能手柄，实现自动控制软件的开启和关闭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可通过脚踏开关，实现控制鼻阻力的开启和关闭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4、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采用最新的橄揽头测量模式测量鼻道呼吸阻塞程度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5、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测量用橄揽头可高温高压灭菌，保证卫生安全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6、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实时显示测量曲线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7、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通过 CAR 计算法得出平均测量曲线，主机内微处理器自动消除偏离数据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8、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进行患者信息存档管理，将鼻阻力测量历史记录保存，测量结束后可将数据转入到电脑系统，支持手动输入病理诊断结果并打印具有病理诊断的检测报告，图表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9、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 xml:space="preserve">可输出转存到门诊信息系统。 </w:t>
            </w:r>
          </w:p>
          <w:p>
            <w:pPr>
              <w:rPr>
                <w:rFonts w:ascii="楷体" w:hAnsi="楷体" w:eastAsia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10、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可将术前、术中、术后，三次检查结果在同一张报告进行对比。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能对接医院网络</w:t>
            </w: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467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2023-07-31T02:37:10Z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06B79F514F994DC1AB7D186AB3B26E24_12</vt:lpwstr>
  </property>
</Properties>
</file>